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E3" w:rsidRPr="0031107D" w:rsidRDefault="00DF44E3" w:rsidP="00DF44E3">
      <w:pPr>
        <w:jc w:val="both"/>
        <w:rPr>
          <w:sz w:val="28"/>
          <w:szCs w:val="28"/>
        </w:rPr>
      </w:pPr>
    </w:p>
    <w:p w:rsidR="00DF44E3" w:rsidRPr="00376C01" w:rsidRDefault="00DF44E3" w:rsidP="00DF44E3">
      <w:pPr>
        <w:ind w:left="360"/>
        <w:jc w:val="center"/>
        <w:rPr>
          <w:b/>
          <w:lang w:val="uk-UA"/>
        </w:rPr>
      </w:pPr>
      <w:r w:rsidRPr="00376C01">
        <w:rPr>
          <w:b/>
          <w:lang w:val="uk-UA"/>
        </w:rPr>
        <w:t>ТЕМИ КУРСОВИХ РОБІТ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1. Облік  і контроль касових операцій.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2. Облік  і контроль операцій на поточних рахунках в національній і іноземній валютах.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3. Облік  і контроль розрахунків з постачальниками та підрядниками.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4. Облік  і контроль виробничих запасів.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5. Облік і контроль розрахунків з покупцями і замовниками.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6. Облік і контроль МШП.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7. Облік  і контроль  товарів у торгівлі.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8. Облік і контроль розрахунків з оплати праці.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9. Облік  і контроль витрат на виробництво.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10. Облік  і контроль відрахувань на соціальні заходи.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11. Облік і контроль готової продукції та її реалізації.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12. Облік і контроль втрат від браку.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13. Облік і контроль поточної дебіторської заборгованості.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14. Облік і контроль поточної кредиторської заборгованості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15. Облік  і контроль фінансових результатів діяльності підприємства.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16. Облік  і контроль інвестиційних операцій.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17. Облік і контроль податку з доходів фізичних осіб.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18. Облік   діяльності малого підприємства.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19. Облік  діяльності приватного підприємця.</w:t>
      </w:r>
    </w:p>
    <w:p w:rsidR="00DF44E3" w:rsidRPr="00376C01" w:rsidRDefault="00DF44E3" w:rsidP="00DF44E3">
      <w:pPr>
        <w:jc w:val="both"/>
        <w:rPr>
          <w:lang w:val="uk-UA"/>
        </w:rPr>
      </w:pPr>
      <w:r>
        <w:rPr>
          <w:lang w:val="uk-UA"/>
        </w:rPr>
        <w:t>20. Облік і контроль основних засобів</w:t>
      </w:r>
      <w:r w:rsidRPr="00376C01">
        <w:rPr>
          <w:lang w:val="uk-UA"/>
        </w:rPr>
        <w:t>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21. Облік  і контроль нематеріальних активів.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22. Облік  і контроль власного капіталу.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23. Облік  і контроль цінних паперів.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24. Облік і контроль формування статутного фонду для суб’єктів різних форм господарювання.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25. Облік  і контроль інших необоротних активів.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26. Фінансова (бухгалтерська) звітність та контроль її виконання.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lastRenderedPageBreak/>
        <w:t>27. Податок на додану вартість. Вимоги законодавства щодо податкової звітності з ПДВ.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28. Податок на прибуток. Вимоги законодавства щодо податкової звітності з  податку на прибуток.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29. Облік і контроль зносу необоротних матеріальних активів.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30. Облік і контроль кредитів банку.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31. Облік і контроль розрахунків з підзвітними особами.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32. Облік і контроль витрат діяльності.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>33. Облік на позабалансових рахунках і його місце в системі економічної інформації.</w:t>
      </w:r>
    </w:p>
    <w:p w:rsidR="00DF44E3" w:rsidRPr="00376C01" w:rsidRDefault="00DF44E3" w:rsidP="00DF44E3">
      <w:pPr>
        <w:jc w:val="both"/>
        <w:rPr>
          <w:lang w:val="uk-UA"/>
        </w:rPr>
      </w:pPr>
      <w:r w:rsidRPr="00376C01">
        <w:rPr>
          <w:lang w:val="uk-UA"/>
        </w:rPr>
        <w:t xml:space="preserve">34. Інвентаризація активів і зобов’язань підприємства. </w:t>
      </w:r>
    </w:p>
    <w:p w:rsidR="00DF44E3" w:rsidRPr="00376C01" w:rsidRDefault="00DF44E3" w:rsidP="00DF44E3">
      <w:pPr>
        <w:jc w:val="both"/>
        <w:rPr>
          <w:lang w:val="uk-UA"/>
        </w:rPr>
      </w:pPr>
    </w:p>
    <w:p w:rsidR="00224DCD" w:rsidRPr="00DF44E3" w:rsidRDefault="00224DCD" w:rsidP="00DF44E3">
      <w:pPr>
        <w:rPr>
          <w:lang w:val="uk-UA"/>
        </w:rPr>
      </w:pPr>
    </w:p>
    <w:sectPr w:rsidR="00224DCD" w:rsidRPr="00DF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44E3"/>
    <w:rsid w:val="00224DCD"/>
    <w:rsid w:val="00D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2017-04-14T14:18:00Z</dcterms:created>
  <dcterms:modified xsi:type="dcterms:W3CDTF">2017-04-14T14:19:00Z</dcterms:modified>
</cp:coreProperties>
</file>